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47" w:rsidRDefault="001D6147" w:rsidP="001D614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PRESENTACIÓN</w:t>
      </w:r>
    </w:p>
    <w:p w:rsidR="001D6147" w:rsidRDefault="001D6147" w:rsidP="001D6147">
      <w:pPr>
        <w:jc w:val="both"/>
        <w:rPr>
          <w:sz w:val="32"/>
          <w:szCs w:val="32"/>
        </w:rPr>
      </w:pPr>
    </w:p>
    <w:p w:rsidR="001D6147" w:rsidRPr="009F3D93" w:rsidRDefault="001D6147" w:rsidP="001D6147">
      <w:pPr>
        <w:jc w:val="both"/>
        <w:rPr>
          <w:sz w:val="32"/>
          <w:szCs w:val="32"/>
        </w:rPr>
      </w:pPr>
      <w:r w:rsidRPr="009F3D93">
        <w:rPr>
          <w:sz w:val="32"/>
          <w:szCs w:val="32"/>
        </w:rPr>
        <w:t>La Dirección de Comunicación Social y Relaciones Públicas del Honorable Tribunal Superior de Justicia del Estado, se ha dado a la tarea de reorganizar la estrategia de Comunicación Social mediante la elaboración de un programa anual de trabajo para el año 2017.</w:t>
      </w:r>
    </w:p>
    <w:p w:rsidR="001D6147" w:rsidRPr="009F3D93" w:rsidRDefault="001D6147" w:rsidP="001D6147">
      <w:pPr>
        <w:jc w:val="both"/>
        <w:rPr>
          <w:sz w:val="32"/>
          <w:szCs w:val="32"/>
        </w:rPr>
      </w:pPr>
      <w:r w:rsidRPr="009F3D93">
        <w:rPr>
          <w:sz w:val="32"/>
          <w:szCs w:val="32"/>
        </w:rPr>
        <w:t>La finalidad es fortalecer la imagen institucional y posicionar al Poder Judicial del Estado, como una instituc</w:t>
      </w:r>
      <w:r w:rsidR="009F3D93" w:rsidRPr="009F3D93">
        <w:rPr>
          <w:sz w:val="32"/>
          <w:szCs w:val="32"/>
        </w:rPr>
        <w:t xml:space="preserve">ión que trabaja con </w:t>
      </w:r>
      <w:r w:rsidRPr="009F3D93">
        <w:rPr>
          <w:sz w:val="32"/>
          <w:szCs w:val="32"/>
        </w:rPr>
        <w:t xml:space="preserve"> eficacia para la ciudadanía, mediante proced</w:t>
      </w:r>
      <w:r w:rsidR="0073597D" w:rsidRPr="009F3D93">
        <w:rPr>
          <w:sz w:val="32"/>
          <w:szCs w:val="32"/>
        </w:rPr>
        <w:t>imientos de calidad que garantizan</w:t>
      </w:r>
      <w:r w:rsidRPr="009F3D93">
        <w:rPr>
          <w:sz w:val="32"/>
          <w:szCs w:val="32"/>
        </w:rPr>
        <w:t xml:space="preserve"> la seguridad jurídica en la impartición de justicia. Por lo que es de suma importancia que exista una relación de la institución vinculada a la sociedad que mantenga en constante información </w:t>
      </w:r>
      <w:r w:rsidR="0073597D" w:rsidRPr="009F3D93">
        <w:rPr>
          <w:sz w:val="32"/>
          <w:szCs w:val="32"/>
        </w:rPr>
        <w:t xml:space="preserve">a la ciudadanía </w:t>
      </w:r>
      <w:r w:rsidRPr="009F3D93">
        <w:rPr>
          <w:sz w:val="32"/>
          <w:szCs w:val="32"/>
        </w:rPr>
        <w:t>sobre los resultados y actividades del Poder Judicial y ad</w:t>
      </w:r>
      <w:r w:rsidR="00BD4692" w:rsidRPr="009F3D93">
        <w:rPr>
          <w:sz w:val="32"/>
          <w:szCs w:val="32"/>
        </w:rPr>
        <w:t>e</w:t>
      </w:r>
      <w:r w:rsidRPr="009F3D93">
        <w:rPr>
          <w:sz w:val="32"/>
          <w:szCs w:val="32"/>
        </w:rPr>
        <w:t>más cumplir con un ejercicio de transparencia.</w:t>
      </w:r>
    </w:p>
    <w:p w:rsidR="001D6147" w:rsidRPr="009F3D93" w:rsidRDefault="0073597D" w:rsidP="001D6147">
      <w:pPr>
        <w:jc w:val="both"/>
        <w:rPr>
          <w:sz w:val="32"/>
          <w:szCs w:val="32"/>
        </w:rPr>
      </w:pPr>
      <w:r w:rsidRPr="009F3D93">
        <w:rPr>
          <w:sz w:val="32"/>
          <w:szCs w:val="32"/>
        </w:rPr>
        <w:t>En e</w:t>
      </w:r>
      <w:r w:rsidR="001D6147" w:rsidRPr="009F3D93">
        <w:rPr>
          <w:sz w:val="32"/>
          <w:szCs w:val="32"/>
        </w:rPr>
        <w:t>ste plan anual de Comunicación Social y Relac</w:t>
      </w:r>
      <w:r w:rsidRPr="009F3D93">
        <w:rPr>
          <w:sz w:val="32"/>
          <w:szCs w:val="32"/>
        </w:rPr>
        <w:t>iones Públicas 2017, se pretende más dinamismo</w:t>
      </w:r>
      <w:r w:rsidR="001D6147" w:rsidRPr="009F3D93">
        <w:rPr>
          <w:sz w:val="32"/>
          <w:szCs w:val="32"/>
        </w:rPr>
        <w:t xml:space="preserve"> sobre la marcha de las activ</w:t>
      </w:r>
      <w:r w:rsidR="0023262B">
        <w:rPr>
          <w:sz w:val="32"/>
          <w:szCs w:val="32"/>
        </w:rPr>
        <w:t>idades encomendadas</w:t>
      </w:r>
      <w:r w:rsidR="00F21AB9">
        <w:rPr>
          <w:sz w:val="32"/>
          <w:szCs w:val="32"/>
        </w:rPr>
        <w:t xml:space="preserve"> por el Pleno</w:t>
      </w:r>
      <w:r w:rsidR="001D6147" w:rsidRPr="009F3D93">
        <w:rPr>
          <w:sz w:val="32"/>
          <w:szCs w:val="32"/>
        </w:rPr>
        <w:t>, que guían las actividades de esta Dirección para cumplir con las funciones de difusión y relaciones públicas.</w:t>
      </w:r>
    </w:p>
    <w:p w:rsidR="001D6147" w:rsidRDefault="0073597D" w:rsidP="001D6147">
      <w:pPr>
        <w:jc w:val="both"/>
        <w:rPr>
          <w:sz w:val="32"/>
          <w:szCs w:val="32"/>
        </w:rPr>
      </w:pPr>
      <w:r w:rsidRPr="009F3D93">
        <w:rPr>
          <w:sz w:val="32"/>
          <w:szCs w:val="32"/>
        </w:rPr>
        <w:t>A continuación se desarrollan los objetivos generales y</w:t>
      </w:r>
      <w:r w:rsidR="001D6147" w:rsidRPr="009F3D93">
        <w:rPr>
          <w:sz w:val="32"/>
          <w:szCs w:val="32"/>
        </w:rPr>
        <w:t xml:space="preserve"> específicos, </w:t>
      </w:r>
      <w:r w:rsidRPr="009F3D93">
        <w:rPr>
          <w:sz w:val="32"/>
          <w:szCs w:val="32"/>
        </w:rPr>
        <w:t xml:space="preserve">así como </w:t>
      </w:r>
      <w:r w:rsidR="001D6147" w:rsidRPr="009F3D93">
        <w:rPr>
          <w:sz w:val="32"/>
          <w:szCs w:val="32"/>
        </w:rPr>
        <w:t>estrategias y resultados que se pretende cumplir durante este año.</w:t>
      </w:r>
    </w:p>
    <w:p w:rsidR="004C42A1" w:rsidRPr="009F3D93" w:rsidRDefault="004C42A1" w:rsidP="001D6147">
      <w:pPr>
        <w:jc w:val="both"/>
        <w:rPr>
          <w:sz w:val="32"/>
          <w:szCs w:val="32"/>
        </w:rPr>
      </w:pPr>
    </w:p>
    <w:p w:rsidR="001D6147" w:rsidRDefault="001D6147" w:rsidP="001D6147">
      <w:pPr>
        <w:jc w:val="both"/>
        <w:rPr>
          <w:color w:val="FF0000"/>
          <w:sz w:val="24"/>
          <w:szCs w:val="24"/>
        </w:rPr>
      </w:pPr>
    </w:p>
    <w:p w:rsidR="001D6147" w:rsidRDefault="001D6147" w:rsidP="001D6147">
      <w:pPr>
        <w:jc w:val="both"/>
        <w:rPr>
          <w:color w:val="FF0000"/>
          <w:sz w:val="24"/>
          <w:szCs w:val="24"/>
        </w:rPr>
      </w:pPr>
    </w:p>
    <w:p w:rsidR="001D6147" w:rsidRDefault="001D6147" w:rsidP="001D6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OBJETIVOS GENERALES</w:t>
      </w:r>
    </w:p>
    <w:p w:rsidR="001D6147" w:rsidRDefault="001D6147" w:rsidP="001D6147">
      <w:pPr>
        <w:jc w:val="both"/>
        <w:rPr>
          <w:sz w:val="32"/>
          <w:szCs w:val="32"/>
        </w:rPr>
      </w:pP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Elaboración de boletines de prensa.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Elaboración de síntesis informativa. 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Concertación de entrevistas y requerimientos de información por parte de los medios de comunicación. 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Cobertura de  eventos y actividades en los que participan Magistrados, Jueces  y Funcionarios Públicos pertenecientes al Honorable Tribunal Superior de Justicia  del Estado.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Realizar campañas de información sobre temas actuales y de interés sobre el Poder Judicial del Estado.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Mantener actualizada la página oficial del Honorable Tribunal Superior de Justicia del Estado, así como las cuentas de Facebook y Twitter.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Organización de banco de imágenes, audio y boletines.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Monitoreo de medios impresos y electrónicos.</w:t>
      </w:r>
    </w:p>
    <w:p w:rsidR="001D6147" w:rsidRDefault="001D6147" w:rsidP="001D61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Organización, planeación y apoyo de eventos especiales.</w:t>
      </w:r>
    </w:p>
    <w:p w:rsidR="001D6147" w:rsidRDefault="001D6147" w:rsidP="001D614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Elaboración de directorios de medios de comunicación.</w:t>
      </w:r>
    </w:p>
    <w:p w:rsidR="001D6147" w:rsidRDefault="001D6147" w:rsidP="001D6147">
      <w:pPr>
        <w:ind w:left="720"/>
        <w:jc w:val="center"/>
        <w:rPr>
          <w:sz w:val="32"/>
          <w:szCs w:val="32"/>
        </w:rPr>
      </w:pPr>
    </w:p>
    <w:p w:rsidR="001D6147" w:rsidRDefault="001D6147" w:rsidP="001D6147">
      <w:pPr>
        <w:ind w:left="720"/>
        <w:jc w:val="center"/>
        <w:rPr>
          <w:sz w:val="32"/>
          <w:szCs w:val="32"/>
        </w:rPr>
      </w:pPr>
    </w:p>
    <w:p w:rsidR="001D6147" w:rsidRDefault="001D6147" w:rsidP="001D6147">
      <w:pPr>
        <w:ind w:left="720"/>
        <w:jc w:val="center"/>
        <w:rPr>
          <w:sz w:val="32"/>
          <w:szCs w:val="32"/>
        </w:rPr>
      </w:pPr>
    </w:p>
    <w:p w:rsidR="001D6147" w:rsidRDefault="001D6147" w:rsidP="001D6147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OBJETIVOS ESPECÍFICOS</w:t>
      </w:r>
    </w:p>
    <w:p w:rsidR="001D6147" w:rsidRDefault="001D6147" w:rsidP="001D6147">
      <w:pPr>
        <w:ind w:left="720"/>
        <w:jc w:val="center"/>
        <w:rPr>
          <w:sz w:val="40"/>
          <w:szCs w:val="40"/>
        </w:rPr>
      </w:pPr>
    </w:p>
    <w:tbl>
      <w:tblPr>
        <w:tblW w:w="1011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702"/>
        <w:gridCol w:w="1713"/>
        <w:gridCol w:w="11"/>
        <w:gridCol w:w="1898"/>
      </w:tblGrid>
      <w:tr w:rsidR="001D6147" w:rsidTr="001D6147">
        <w:trPr>
          <w:trHeight w:val="535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ind w:left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ACTIVIDADES</w:t>
            </w:r>
          </w:p>
        </w:tc>
      </w:tr>
      <w:tr w:rsidR="001D6147" w:rsidTr="001D6147">
        <w:trPr>
          <w:trHeight w:val="5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ACTIVIDAD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1D6147" w:rsidTr="001D6147">
        <w:trPr>
          <w:trHeight w:val="12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boletines de prensa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Emitir proyecto de boletín de prensa sobre las actividades específicas que se realizan en el Poder Judicial, así como de las áreas que generan información de interés para la sociedad.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Actividades Magistrados, Jueces, Funcionarios Públicos, Escuela Judicial, Igualdad de Género, Justicia alternativa, etc.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Generar información de impacto.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Fortalecimiento de la imagen institucional.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Mantener y difundir con oportunidad a la ciudadanía.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 </w:t>
            </w:r>
            <w:r w:rsidR="00C20E17">
              <w:rPr>
                <w:sz w:val="20"/>
                <w:szCs w:val="20"/>
              </w:rPr>
              <w:t>y permanente</w:t>
            </w:r>
            <w:r w:rsidR="008E375D">
              <w:rPr>
                <w:sz w:val="20"/>
                <w:szCs w:val="20"/>
              </w:rPr>
              <w:t>.</w:t>
            </w:r>
          </w:p>
        </w:tc>
      </w:tr>
      <w:tr w:rsidR="001D6147" w:rsidTr="001D6147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Síntesis Informativa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Revisar diariamente los periódicos y revistas de circulación estatal, con el objetivo de integrar la información en los formatos específicos, las notas de prensa de las acciones o temas que involucren al Honorable Tribunal Superior de Justicia del Estado sus Magistrados, Jueces, Funcionarios Públicos y redactar el resumen para ser enviado por correo electrónico a los correos previamente autorizados por el Magistrado Presidente.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Síntesis de </w:t>
            </w:r>
            <w:r w:rsidR="008E375D">
              <w:rPr>
                <w:sz w:val="20"/>
                <w:szCs w:val="20"/>
              </w:rPr>
              <w:t>la información</w:t>
            </w:r>
            <w:r>
              <w:rPr>
                <w:sz w:val="20"/>
                <w:szCs w:val="20"/>
              </w:rPr>
              <w:t xml:space="preserve"> para el Magistrado Presidente.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y Permanente</w:t>
            </w:r>
            <w:r w:rsidR="008E375D">
              <w:rPr>
                <w:sz w:val="20"/>
                <w:szCs w:val="20"/>
              </w:rPr>
              <w:t>.</w:t>
            </w:r>
          </w:p>
        </w:tc>
      </w:tr>
      <w:tr w:rsidR="001D6147" w:rsidTr="001D6147">
        <w:trPr>
          <w:trHeight w:val="117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Concertación de entrevistas y requerimientos de información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Agendar las entrevistas del Magistrado Presidente e integrantes del Pleno, Jueces y Funcionarios del Poder Judicial. 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 con el audio de todas las entrevistas de prensa que se otorguen (Exclusivas, de banqueta o conferencias de Prensa)</w:t>
            </w:r>
            <w:r w:rsidR="00E921CF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Respaldo Institucional.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la información.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medios.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Variable/ de acuerdo a la solicitud</w:t>
            </w:r>
            <w:r w:rsidR="008E375D">
              <w:rPr>
                <w:sz w:val="20"/>
                <w:szCs w:val="20"/>
              </w:rPr>
              <w:t>.</w:t>
            </w:r>
          </w:p>
        </w:tc>
      </w:tr>
    </w:tbl>
    <w:p w:rsidR="001D6147" w:rsidRDefault="001D6147" w:rsidP="001D6147"/>
    <w:p w:rsidR="001D6147" w:rsidRDefault="001D6147" w:rsidP="001D6147"/>
    <w:p w:rsidR="001D6147" w:rsidRDefault="001D6147" w:rsidP="001D6147"/>
    <w:p w:rsidR="001D6147" w:rsidRDefault="001D6147" w:rsidP="001D6147"/>
    <w:tbl>
      <w:tblPr>
        <w:tblW w:w="1011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702"/>
        <w:gridCol w:w="1713"/>
        <w:gridCol w:w="11"/>
        <w:gridCol w:w="1898"/>
      </w:tblGrid>
      <w:tr w:rsidR="001D6147" w:rsidTr="001D6147">
        <w:trPr>
          <w:trHeight w:val="535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ind w:left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PROGRAMA DE ACTIVIDADES</w:t>
            </w:r>
          </w:p>
        </w:tc>
      </w:tr>
      <w:tr w:rsidR="001D6147" w:rsidTr="001D6147">
        <w:trPr>
          <w:trHeight w:val="5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ACTIVIDAD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1D6147" w:rsidTr="001D6147">
        <w:trPr>
          <w:trHeight w:val="12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Cobertura de  eventos y actividades</w:t>
            </w:r>
            <w:r w:rsidR="00E921CF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Acopio de imágenes fotográficas, de video e información para reporte y actualización de actividades para la página oficial y redes sociales.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Cubrir los eventos a los que asiste el Magistrado Presidente, Magistrada y Magistrados Integ</w:t>
            </w:r>
            <w:r w:rsidR="00914CA6">
              <w:rPr>
                <w:sz w:val="20"/>
                <w:szCs w:val="20"/>
              </w:rPr>
              <w:t>rantes del Pleno, así como a integrantes del Consejo de la Judicatura del Estado.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Variable/ de acuerdo a la solicitud</w:t>
            </w:r>
            <w:r w:rsidR="008E375D">
              <w:rPr>
                <w:sz w:val="20"/>
                <w:szCs w:val="20"/>
              </w:rPr>
              <w:t>.</w:t>
            </w:r>
          </w:p>
        </w:tc>
      </w:tr>
      <w:tr w:rsidR="001D6147" w:rsidTr="001D6147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Campañas de información</w:t>
            </w:r>
            <w:r w:rsidR="00E921CF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campañas de información sobre temas actuales y de interés sobre el Poder Judicial del Estado a través de capsulas informativas grabadas en video, y utilizando como recurso humano al personal del Honorable Tribunal Superior de Justicia del Estado, información para redes sociales, acuerdos con medios de comunicación para que brinden espacios en radio y televisión para entrevistas de Magistrados integrantes del Pleno así como Jueces tanto de la ciudad de La Paz y acercamiento con los medios en los municipios del Estado. 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 de información no solo de quienes tenga relación directa con el Poder Judicial, sino   del </w:t>
            </w:r>
            <w:r w:rsidR="008E375D">
              <w:rPr>
                <w:sz w:val="20"/>
                <w:szCs w:val="20"/>
              </w:rPr>
              <w:t>público</w:t>
            </w:r>
            <w:r>
              <w:rPr>
                <w:sz w:val="20"/>
                <w:szCs w:val="20"/>
              </w:rPr>
              <w:t xml:space="preserve"> en general.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jurídica que pueda llegar a la sociedad con conocimiento fundado y en un lenguaje coloquial evitando en la medida de lo posible lenguaje jurídico. </w:t>
            </w:r>
          </w:p>
          <w:p w:rsidR="001D6147" w:rsidRDefault="001D614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236674" w:rsidP="0023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Permanente.</w:t>
            </w:r>
          </w:p>
        </w:tc>
      </w:tr>
    </w:tbl>
    <w:p w:rsidR="001D6147" w:rsidRDefault="001D6147" w:rsidP="001D6147"/>
    <w:p w:rsidR="001D6147" w:rsidRDefault="001D6147" w:rsidP="001D6147"/>
    <w:p w:rsidR="001D6147" w:rsidRDefault="001D6147" w:rsidP="001D6147"/>
    <w:p w:rsidR="001D6147" w:rsidRDefault="001D6147" w:rsidP="001D6147"/>
    <w:p w:rsidR="001D6147" w:rsidRDefault="001D6147" w:rsidP="001D6147"/>
    <w:tbl>
      <w:tblPr>
        <w:tblW w:w="1011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702"/>
        <w:gridCol w:w="1713"/>
        <w:gridCol w:w="11"/>
        <w:gridCol w:w="1898"/>
      </w:tblGrid>
      <w:tr w:rsidR="001D6147" w:rsidTr="001D6147">
        <w:trPr>
          <w:trHeight w:val="535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ind w:left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ACTIVIDADES</w:t>
            </w:r>
          </w:p>
        </w:tc>
      </w:tr>
      <w:tr w:rsidR="001D6147" w:rsidTr="001D6147">
        <w:trPr>
          <w:trHeight w:val="5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ACTIVIDAD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1D6147" w:rsidTr="001D6147">
        <w:trPr>
          <w:trHeight w:val="12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8E375D">
            <w:r>
              <w:rPr>
                <w:sz w:val="20"/>
                <w:szCs w:val="20"/>
              </w:rPr>
              <w:t>Actualización de</w:t>
            </w:r>
            <w:r w:rsidR="001D6147">
              <w:rPr>
                <w:sz w:val="20"/>
                <w:szCs w:val="20"/>
              </w:rPr>
              <w:t xml:space="preserve"> información de </w:t>
            </w:r>
            <w:r w:rsidR="00766686">
              <w:rPr>
                <w:sz w:val="20"/>
                <w:szCs w:val="20"/>
              </w:rPr>
              <w:t>Página</w:t>
            </w:r>
            <w:r w:rsidR="001D6147">
              <w:rPr>
                <w:sz w:val="20"/>
                <w:szCs w:val="20"/>
              </w:rPr>
              <w:t xml:space="preserve"> Oficial y redes sociales.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Actualización de contenido e información de la página oficial del Honorable Tribunal Superior de Justicia del Estado así como las cuentas de </w:t>
            </w:r>
            <w:r w:rsidR="00766686"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 xml:space="preserve"> y Twitter.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Aprovechamiento de las redes sociales para llegar a los puntos más apartados del Estado y a otras partes del país.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rápida, directa y oportuna para la promoción de la información.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y Divulgación de información de impacto, posicionamiento de imagen institucional.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Potenciar la información.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y Permanente</w:t>
            </w:r>
            <w:r w:rsidR="00E921CF">
              <w:rPr>
                <w:sz w:val="20"/>
                <w:szCs w:val="20"/>
              </w:rPr>
              <w:t>.</w:t>
            </w:r>
          </w:p>
        </w:tc>
      </w:tr>
      <w:tr w:rsidR="001D6147" w:rsidTr="001D6147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banco de imágenes, audio y boletines.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fotográfico organizado por mes y actividad.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de audios de entrevistas e imágenes por mes y actividad.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numeración a boletines para efecto de llevar un orden.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fotográfico como antecedente y a solicitud para informe del Magistrado Presidente.</w:t>
            </w:r>
          </w:p>
          <w:p w:rsidR="001D6147" w:rsidRDefault="001D61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Audios e imágenes</w:t>
            </w:r>
          </w:p>
          <w:p w:rsidR="001D6147" w:rsidRDefault="001D61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entrevistas para complementar información sobre temas específicos en la elaboración de boletines.</w:t>
            </w:r>
          </w:p>
          <w:p w:rsidR="001D6147" w:rsidRDefault="001D614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y Permanente</w:t>
            </w:r>
            <w:r w:rsidR="00E921CF">
              <w:rPr>
                <w:sz w:val="20"/>
                <w:szCs w:val="20"/>
              </w:rPr>
              <w:t>.</w:t>
            </w:r>
          </w:p>
        </w:tc>
      </w:tr>
      <w:tr w:rsidR="001D6147" w:rsidTr="001D6147">
        <w:trPr>
          <w:trHeight w:val="117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Monitoreo de medios impresos</w:t>
            </w:r>
            <w:r w:rsidR="008E375D">
              <w:rPr>
                <w:sz w:val="20"/>
                <w:szCs w:val="20"/>
              </w:rPr>
              <w:t>, electrónicos</w:t>
            </w:r>
            <w:r>
              <w:rPr>
                <w:sz w:val="20"/>
                <w:szCs w:val="20"/>
              </w:rPr>
              <w:t>, portales de internet.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Analizar la tendencia de la información de acuerdo al medio informativo para verificar el posicionamiento de la</w:t>
            </w:r>
            <w:r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  <w:t> institución.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 de la difusión quienes son los medios impresos, electrónicos y portales de internet que publican las notas del H. Tribunal. 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 medios que brindan espacio a nuestras publicaciones.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impacto.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información.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Permanente</w:t>
            </w:r>
            <w:r w:rsidR="00E921CF">
              <w:rPr>
                <w:sz w:val="20"/>
                <w:szCs w:val="20"/>
              </w:rPr>
              <w:t>.</w:t>
            </w:r>
          </w:p>
        </w:tc>
      </w:tr>
    </w:tbl>
    <w:p w:rsidR="001D6147" w:rsidRDefault="001D6147" w:rsidP="001D6147"/>
    <w:p w:rsidR="001D6147" w:rsidRDefault="001D6147" w:rsidP="001D6147"/>
    <w:p w:rsidR="001D6147" w:rsidRDefault="001D6147" w:rsidP="001D6147"/>
    <w:tbl>
      <w:tblPr>
        <w:tblW w:w="1011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702"/>
        <w:gridCol w:w="1713"/>
        <w:gridCol w:w="11"/>
        <w:gridCol w:w="1898"/>
      </w:tblGrid>
      <w:tr w:rsidR="001D6147" w:rsidTr="001D6147">
        <w:trPr>
          <w:trHeight w:val="535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ind w:left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ACTIVIDADES</w:t>
            </w:r>
          </w:p>
        </w:tc>
      </w:tr>
      <w:tr w:rsidR="001D6147" w:rsidTr="001D6147">
        <w:trPr>
          <w:trHeight w:val="5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ACTIVIDAD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6147" w:rsidRDefault="001D6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1D6147" w:rsidTr="001D6147">
        <w:trPr>
          <w:trHeight w:val="12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Organización, </w:t>
            </w:r>
            <w:r w:rsidR="008E375D">
              <w:rPr>
                <w:sz w:val="20"/>
                <w:szCs w:val="20"/>
              </w:rPr>
              <w:t>planeación de</w:t>
            </w:r>
            <w:r>
              <w:rPr>
                <w:sz w:val="20"/>
                <w:szCs w:val="20"/>
              </w:rPr>
              <w:t xml:space="preserve"> eventos especiales.</w:t>
            </w:r>
          </w:p>
          <w:p w:rsidR="001D6147" w:rsidRDefault="001D6147"/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y coordinación de eventos especiales que acuerde la Presidencia y el Pleno del Honorable Tribunal Superior de Justicia del Estado.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para cubrir los cursos y talleres que ofrece la Escuela Judicial y demás áreas de la Institución.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Así como los eventos que año con año se realizan como los son:</w:t>
            </w:r>
          </w:p>
          <w:p w:rsidR="001D6147" w:rsidRDefault="001D614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del Niño.</w:t>
            </w:r>
          </w:p>
          <w:p w:rsidR="001D6147" w:rsidRDefault="001D614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las madres.</w:t>
            </w:r>
          </w:p>
          <w:p w:rsidR="001D6147" w:rsidRDefault="001D614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la Secretaria.</w:t>
            </w:r>
          </w:p>
          <w:p w:rsidR="001D6147" w:rsidRDefault="001D614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Brindis Navideño.</w:t>
            </w:r>
          </w:p>
          <w:p w:rsidR="001D6147" w:rsidRDefault="001D614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interinstitucional.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Variable/ De acuerdo a solicitud.</w:t>
            </w:r>
          </w:p>
        </w:tc>
      </w:tr>
      <w:tr w:rsidR="001D6147" w:rsidTr="001D6147">
        <w:trPr>
          <w:trHeight w:val="13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directorios de medios de comunicación.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Directorios de medios informativos de Medios de Comunicación, directores, reporteros y columnistas. </w:t>
            </w:r>
          </w:p>
          <w:p w:rsidR="001D6147" w:rsidRDefault="001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Directorios de áreas de comunicación social de dependencias federales, estatales y municipales, para estrechar vínculos con sus representantes.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comunicación/ Coordinación Interinstitucional.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7" w:rsidRDefault="001D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Enero  2017</w:t>
            </w:r>
            <w:r w:rsidR="00E921CF">
              <w:rPr>
                <w:sz w:val="20"/>
                <w:szCs w:val="20"/>
              </w:rPr>
              <w:t>.</w:t>
            </w:r>
          </w:p>
        </w:tc>
      </w:tr>
      <w:tr w:rsidR="001D6147" w:rsidTr="001D6147">
        <w:trPr>
          <w:trHeight w:val="117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91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radio.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91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Entrevistar a funcionarios, Jueces y Magistrados del Poder Judicial, sobre temas relacionados con la actividad Judicial.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91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Acercar y responder dudas de la ciudadanía sobre temas Judiciales, de interés social.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7" w:rsidRDefault="00914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 de acuerdo a los espacios en los medios electrónicos. </w:t>
            </w:r>
          </w:p>
        </w:tc>
      </w:tr>
    </w:tbl>
    <w:p w:rsidR="001D6147" w:rsidRDefault="001D6147" w:rsidP="001D6147"/>
    <w:p w:rsidR="001D6147" w:rsidRDefault="001D6147" w:rsidP="001D6147"/>
    <w:p w:rsidR="001D6147" w:rsidRDefault="001D6147" w:rsidP="001D6147"/>
    <w:p w:rsidR="001D6147" w:rsidRDefault="001D6147" w:rsidP="001D6147"/>
    <w:p w:rsidR="001D6147" w:rsidRDefault="001D6147" w:rsidP="001D6147"/>
    <w:p w:rsidR="001D6147" w:rsidRDefault="001D6147" w:rsidP="001D6147"/>
    <w:sectPr w:rsidR="001D6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B45"/>
    <w:multiLevelType w:val="hybridMultilevel"/>
    <w:tmpl w:val="18A6D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FD"/>
    <w:rsid w:val="00097413"/>
    <w:rsid w:val="001A56B7"/>
    <w:rsid w:val="001D6147"/>
    <w:rsid w:val="0023262B"/>
    <w:rsid w:val="00236674"/>
    <w:rsid w:val="00385019"/>
    <w:rsid w:val="00413397"/>
    <w:rsid w:val="004C42A1"/>
    <w:rsid w:val="006A7A9C"/>
    <w:rsid w:val="0073597D"/>
    <w:rsid w:val="00765913"/>
    <w:rsid w:val="00766686"/>
    <w:rsid w:val="008E34DE"/>
    <w:rsid w:val="008E375D"/>
    <w:rsid w:val="00914CA6"/>
    <w:rsid w:val="009E7EFD"/>
    <w:rsid w:val="009F3D93"/>
    <w:rsid w:val="00A44A42"/>
    <w:rsid w:val="00A468CF"/>
    <w:rsid w:val="00A577B6"/>
    <w:rsid w:val="00BD4692"/>
    <w:rsid w:val="00C20E17"/>
    <w:rsid w:val="00DE3627"/>
    <w:rsid w:val="00E50725"/>
    <w:rsid w:val="00E921CF"/>
    <w:rsid w:val="00F21AB9"/>
    <w:rsid w:val="00F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1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D6147"/>
  </w:style>
  <w:style w:type="paragraph" w:styleId="Textodeglobo">
    <w:name w:val="Balloon Text"/>
    <w:basedOn w:val="Normal"/>
    <w:link w:val="TextodegloboCar"/>
    <w:uiPriority w:val="99"/>
    <w:semiHidden/>
    <w:unhideWhenUsed/>
    <w:rsid w:val="008E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DE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1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D6147"/>
  </w:style>
  <w:style w:type="paragraph" w:styleId="Textodeglobo">
    <w:name w:val="Balloon Text"/>
    <w:basedOn w:val="Normal"/>
    <w:link w:val="TextodegloboCar"/>
    <w:uiPriority w:val="99"/>
    <w:semiHidden/>
    <w:unhideWhenUsed/>
    <w:rsid w:val="008E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DE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 Leyva Victor Luis</dc:creator>
  <cp:lastModifiedBy>Luffi</cp:lastModifiedBy>
  <cp:revision>2</cp:revision>
  <cp:lastPrinted>2017-01-27T17:37:00Z</cp:lastPrinted>
  <dcterms:created xsi:type="dcterms:W3CDTF">2017-04-19T16:18:00Z</dcterms:created>
  <dcterms:modified xsi:type="dcterms:W3CDTF">2017-04-19T16:18:00Z</dcterms:modified>
</cp:coreProperties>
</file>